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Indikator 11.2 (K)</w:t>
      </w: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Kostenstrukturanalyse je Praxisinhaber</w:t>
      </w:r>
      <w:r w:rsidR="008A3DBE">
        <w:rPr>
          <w:rFonts w:ascii="Arial" w:hAnsi="Arial" w:cs="Arial"/>
          <w:b/>
          <w:sz w:val="20"/>
        </w:rPr>
        <w:t>/-in</w:t>
      </w:r>
      <w:r w:rsidRPr="003B2E9C">
        <w:rPr>
          <w:rFonts w:ascii="Arial" w:hAnsi="Arial" w:cs="Arial"/>
          <w:b/>
          <w:sz w:val="20"/>
        </w:rPr>
        <w:t xml:space="preserve"> einer Zahnarztpraxis, Deutschland (alte bzw. neue Bundesländer), Jahre</w:t>
      </w:r>
    </w:p>
    <w:p w:rsidR="009153D5" w:rsidRPr="003B2E9C" w:rsidRDefault="009153D5">
      <w:pPr>
        <w:rPr>
          <w:rFonts w:ascii="Arial" w:hAnsi="Arial" w:cs="Arial"/>
          <w:b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Definition</w:t>
      </w:r>
    </w:p>
    <w:p w:rsidR="008A3DBE" w:rsidRPr="008A3DBE" w:rsidRDefault="008A3DBE" w:rsidP="008A3DBE">
      <w:pPr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Der Indikator dient der Übersicht über die Einkommenssituation von Zahnärztinnen und Zahnärzten.</w:t>
      </w:r>
    </w:p>
    <w:p w:rsidR="008A3DBE" w:rsidRDefault="008A3DBE" w:rsidP="008A3DBE">
      <w:pPr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Die Einnahmen aus selbständiger zahnärztlicher Tätigkeit werden entweder</w:t>
      </w:r>
      <w:r>
        <w:rPr>
          <w:rFonts w:ascii="Arial" w:hAnsi="Arial" w:cs="Arial"/>
          <w:sz w:val="20"/>
        </w:rPr>
        <w:t>:</w:t>
      </w:r>
    </w:p>
    <w:p w:rsidR="008A3DBE" w:rsidRDefault="008A3DBE" w:rsidP="008A3DBE">
      <w:pPr>
        <w:pStyle w:val="Listenabsatz"/>
        <w:numPr>
          <w:ilvl w:val="0"/>
          <w:numId w:val="1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</w:t>
      </w:r>
      <w:r w:rsidRPr="008A3DBE">
        <w:rPr>
          <w:rFonts w:ascii="Arial" w:hAnsi="Arial" w:cs="Arial"/>
          <w:sz w:val="20"/>
        </w:rPr>
        <w:t xml:space="preserve">ber die Kassenzahnärztlichen Vereinigungen (KZV) vereinnahmt </w:t>
      </w:r>
      <w:r>
        <w:rPr>
          <w:rFonts w:ascii="Arial" w:hAnsi="Arial" w:cs="Arial"/>
          <w:sz w:val="20"/>
        </w:rPr>
        <w:br/>
      </w:r>
      <w:r w:rsidRPr="008A3DBE">
        <w:rPr>
          <w:rFonts w:ascii="Arial" w:hAnsi="Arial" w:cs="Arial"/>
          <w:sz w:val="20"/>
        </w:rPr>
        <w:t xml:space="preserve">(vertragszahnärztliche Tätigkeit ohne Eigenanteile der GKV-Versicherten) </w:t>
      </w:r>
    </w:p>
    <w:p w:rsidR="008A3DBE" w:rsidRDefault="008A3DBE" w:rsidP="008A3DBE">
      <w:pPr>
        <w:pStyle w:val="Listenabsatz"/>
        <w:numPr>
          <w:ilvl w:val="0"/>
          <w:numId w:val="1"/>
        </w:numPr>
        <w:ind w:left="426"/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 xml:space="preserve">oder nicht über die KZV vereinnahmt </w:t>
      </w:r>
      <w:r>
        <w:rPr>
          <w:rFonts w:ascii="Arial" w:hAnsi="Arial" w:cs="Arial"/>
          <w:sz w:val="20"/>
        </w:rPr>
        <w:br/>
      </w:r>
      <w:r w:rsidRPr="008A3DBE">
        <w:rPr>
          <w:rFonts w:ascii="Arial" w:hAnsi="Arial" w:cs="Arial"/>
          <w:sz w:val="20"/>
        </w:rPr>
        <w:t xml:space="preserve">(privatzahnärztliche Tätigkeit und Eigenanteile der GKV-Versicherten). </w:t>
      </w:r>
    </w:p>
    <w:p w:rsidR="008A3DBE" w:rsidRPr="008A3DBE" w:rsidRDefault="008A3DBE" w:rsidP="008A3DBE">
      <w:pPr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Die Betriebsausgaben beinhalten Personal- und sonstige Ausgaben. Der Betriebsausgabenanteil ist ein Quotient und wird durch die Division der gesamten Betriebsausgaben durch die Einnahmen ermittelt und bezieht sich auf alle Bereiche der Praxistätigkeit. Der Einnahmen-Überschuss aus zahnärztlicher Tätigkeit ergibt sich als Ergebnisdifferenz der Einnahmen und Ausgaben der gesamten Praxistätigkeit.</w:t>
      </w:r>
    </w:p>
    <w:p w:rsidR="008A3DBE" w:rsidRPr="008A3DBE" w:rsidRDefault="008A3DBE" w:rsidP="008A3DBE">
      <w:pPr>
        <w:pStyle w:val="Textkrper"/>
        <w:rPr>
          <w:rFonts w:ascii="Arial" w:hAnsi="Arial" w:cs="Arial"/>
        </w:rPr>
      </w:pPr>
      <w:r w:rsidRPr="008A3DBE">
        <w:rPr>
          <w:rFonts w:ascii="Arial" w:hAnsi="Arial" w:cs="Arial"/>
        </w:rPr>
        <w:t>Der Honorarumsatz pro Behandlungsstunde ist die Umrechnung der Summe aus dem Einnahmen-Überschuss und den Betriebsausgaben ohne Fremdlaborausgaben auf die Behandlungsstunden.</w:t>
      </w:r>
    </w:p>
    <w:p w:rsidR="009153D5" w:rsidRPr="003B2E9C" w:rsidRDefault="008A3DBE" w:rsidP="008A3DBE">
      <w:pPr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Der Medianwert beinhaltet, dass 50 % der Zahnärztinnen/Zahnärzte über und 50 % der Zahnärztinnen/Zahnärzte unter dem Wert liegen. Nach Abzug der Zahlungen für Vorsorge (Altersvorsorge, Krankenversicherung) und Steuern (Einkommen- und Kirchensteuer, Solidaritätszuschlag, ausgehend von einer/</w:t>
      </w:r>
      <w:proofErr w:type="gramStart"/>
      <w:r w:rsidRPr="008A3DBE">
        <w:rPr>
          <w:rFonts w:ascii="Arial" w:hAnsi="Arial" w:cs="Arial"/>
          <w:sz w:val="20"/>
        </w:rPr>
        <w:t>einem verheirateten Zahnärztin</w:t>
      </w:r>
      <w:proofErr w:type="gramEnd"/>
      <w:r w:rsidRPr="008A3DBE">
        <w:rPr>
          <w:rFonts w:ascii="Arial" w:hAnsi="Arial" w:cs="Arial"/>
          <w:sz w:val="20"/>
        </w:rPr>
        <w:t>/Zahnarzt mit zwei Kindern) vom Median des Einnahmen-Überschusses ergibt sich das verfügbare Einkommen im Jahr, und durch Division durch 13 das monatlich verfügbare Einkommen.</w:t>
      </w:r>
      <w:r w:rsidR="009153D5" w:rsidRPr="003B2E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="009153D5" w:rsidRPr="003B2E9C">
        <w:rPr>
          <w:rFonts w:ascii="Arial" w:hAnsi="Arial" w:cs="Arial"/>
          <w:sz w:val="20"/>
        </w:rPr>
        <w:t>Im Indikator sind die Zahnärzt</w:t>
      </w:r>
      <w:r>
        <w:rPr>
          <w:rFonts w:ascii="Arial" w:hAnsi="Arial" w:cs="Arial"/>
          <w:sz w:val="20"/>
        </w:rPr>
        <w:t>innen/Zahnärzte</w:t>
      </w:r>
      <w:r w:rsidR="009153D5" w:rsidRPr="003B2E9C">
        <w:rPr>
          <w:rFonts w:ascii="Arial" w:hAnsi="Arial" w:cs="Arial"/>
          <w:sz w:val="20"/>
        </w:rPr>
        <w:t xml:space="preserve"> und Kieferorthopäd</w:t>
      </w:r>
      <w:r>
        <w:rPr>
          <w:rFonts w:ascii="Arial" w:hAnsi="Arial" w:cs="Arial"/>
          <w:sz w:val="20"/>
        </w:rPr>
        <w:t>innen/Kieferorthopäden</w:t>
      </w:r>
      <w:r w:rsidR="009153D5" w:rsidRPr="003B2E9C">
        <w:rPr>
          <w:rFonts w:ascii="Arial" w:hAnsi="Arial" w:cs="Arial"/>
          <w:sz w:val="20"/>
        </w:rPr>
        <w:t xml:space="preserve"> zusammengefasst.</w:t>
      </w:r>
    </w:p>
    <w:p w:rsidR="009153D5" w:rsidRPr="003B2E9C" w:rsidRDefault="009153D5">
      <w:pPr>
        <w:rPr>
          <w:rFonts w:ascii="Arial" w:hAnsi="Arial" w:cs="Arial"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Datenhalter</w:t>
      </w:r>
    </w:p>
    <w:p w:rsidR="009153D5" w:rsidRPr="003B2E9C" w:rsidRDefault="009153D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Kassenzahnärztliche Bundesvereinigung (KZBV)</w:t>
      </w:r>
    </w:p>
    <w:p w:rsidR="009153D5" w:rsidRPr="003B2E9C" w:rsidRDefault="009153D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Datenquelle</w:t>
      </w:r>
      <w:r w:rsidR="008A3DBE">
        <w:rPr>
          <w:rFonts w:ascii="Arial" w:hAnsi="Arial" w:cs="Arial"/>
          <w:b/>
          <w:sz w:val="20"/>
        </w:rPr>
        <w:t>n</w:t>
      </w:r>
    </w:p>
    <w:p w:rsidR="009153D5" w:rsidRPr="008A3DBE" w:rsidRDefault="009153D5" w:rsidP="008A3DBE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ind w:left="426"/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Kostenstrukturanalyse für Zahnarztpraxen</w:t>
      </w:r>
    </w:p>
    <w:p w:rsidR="008A3DBE" w:rsidRPr="008A3DBE" w:rsidRDefault="008A3DBE" w:rsidP="000B2999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ind w:left="426" w:right="-143"/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Zahnärzte-Praxis-Panel-Erhebung (</w:t>
      </w:r>
      <w:proofErr w:type="spellStart"/>
      <w:r w:rsidRPr="008A3DBE">
        <w:rPr>
          <w:rFonts w:ascii="Arial" w:hAnsi="Arial" w:cs="Arial"/>
          <w:sz w:val="20"/>
        </w:rPr>
        <w:t>ZäPP</w:t>
      </w:r>
      <w:proofErr w:type="spellEnd"/>
      <w:r w:rsidRPr="008A3DBE">
        <w:rPr>
          <w:rFonts w:ascii="Arial" w:hAnsi="Arial" w:cs="Arial"/>
          <w:sz w:val="20"/>
        </w:rPr>
        <w:t>) des Zentralinstituts für die kassenärztliche Versorgung (</w:t>
      </w:r>
      <w:proofErr w:type="spellStart"/>
      <w:r w:rsidRPr="008A3DBE">
        <w:rPr>
          <w:rFonts w:ascii="Arial" w:hAnsi="Arial" w:cs="Arial"/>
          <w:sz w:val="20"/>
        </w:rPr>
        <w:t>Zi</w:t>
      </w:r>
      <w:proofErr w:type="spellEnd"/>
      <w:r w:rsidRPr="008A3DBE">
        <w:rPr>
          <w:rFonts w:ascii="Arial" w:hAnsi="Arial" w:cs="Arial"/>
          <w:sz w:val="20"/>
        </w:rPr>
        <w:t>)</w:t>
      </w:r>
    </w:p>
    <w:p w:rsidR="009153D5" w:rsidRPr="003B2E9C" w:rsidRDefault="009153D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Periodizität</w:t>
      </w:r>
    </w:p>
    <w:p w:rsidR="009153D5" w:rsidRPr="003B2E9C" w:rsidRDefault="009153D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Jährlich, 31.12.</w:t>
      </w:r>
    </w:p>
    <w:p w:rsidR="009153D5" w:rsidRPr="003B2E9C" w:rsidRDefault="009153D5">
      <w:pPr>
        <w:rPr>
          <w:rFonts w:ascii="Arial" w:hAnsi="Arial" w:cs="Arial"/>
          <w:b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Validität</w:t>
      </w:r>
    </w:p>
    <w:p w:rsidR="009153D5" w:rsidRPr="003B2E9C" w:rsidRDefault="009153D5">
      <w:pPr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Datengrundlage ist eine jährliche Kostenstrukturerhebung bei den Zahnärzten. Auf Grund der Größe des Rücklaufs und des verwendeten Hochrechnungsrahmens haben die Ergebnisse eine hohe Validität.</w:t>
      </w:r>
    </w:p>
    <w:p w:rsidR="009153D5" w:rsidRPr="003B2E9C" w:rsidRDefault="009153D5">
      <w:pPr>
        <w:rPr>
          <w:rFonts w:ascii="Arial" w:hAnsi="Arial" w:cs="Arial"/>
          <w:sz w:val="20"/>
        </w:rPr>
      </w:pPr>
    </w:p>
    <w:p w:rsidR="009153D5" w:rsidRPr="003B2E9C" w:rsidRDefault="009153D5">
      <w:pPr>
        <w:pStyle w:val="berschrift1"/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Kommentar</w:t>
      </w:r>
    </w:p>
    <w:p w:rsidR="009153D5" w:rsidRPr="008A3DBE" w:rsidRDefault="008A3DBE">
      <w:pPr>
        <w:rPr>
          <w:rFonts w:ascii="Arial" w:hAnsi="Arial" w:cs="Arial"/>
          <w:sz w:val="20"/>
        </w:rPr>
      </w:pPr>
      <w:r w:rsidRPr="008A3DBE">
        <w:rPr>
          <w:rFonts w:ascii="Arial" w:hAnsi="Arial" w:cs="Arial"/>
          <w:sz w:val="20"/>
        </w:rPr>
        <w:t>Die Auswertungsergebnisse wurden unterteilt nach alten und neuen Bundeslän</w:t>
      </w:r>
      <w:r w:rsidR="001143E4">
        <w:rPr>
          <w:rFonts w:ascii="Arial" w:hAnsi="Arial" w:cs="Arial"/>
          <w:sz w:val="20"/>
        </w:rPr>
        <w:t>dern und für Zahnärztinnen/Zahn</w:t>
      </w:r>
      <w:bookmarkStart w:id="0" w:name="_GoBack"/>
      <w:bookmarkEnd w:id="0"/>
      <w:r w:rsidRPr="008A3DBE">
        <w:rPr>
          <w:rFonts w:ascii="Arial" w:hAnsi="Arial" w:cs="Arial"/>
          <w:sz w:val="20"/>
        </w:rPr>
        <w:t>ärzte und Kieferorthopädinnen/-orthopäden gemeinsam erstellt. Publizierte Auswertungen liegen nicht nach den 16 Bundesländern vor. Ab 2017 hat die Kassenzahnärztliche Bundesvereinigung (KZBV) die Erhebung der Daten an das Zentralinstitut für die ärztliche Versorgung (</w:t>
      </w:r>
      <w:proofErr w:type="spellStart"/>
      <w:r w:rsidRPr="008A3DBE">
        <w:rPr>
          <w:rFonts w:ascii="Arial" w:hAnsi="Arial" w:cs="Arial"/>
          <w:sz w:val="20"/>
        </w:rPr>
        <w:t>Zi</w:t>
      </w:r>
      <w:proofErr w:type="spellEnd"/>
      <w:r w:rsidRPr="008A3DBE">
        <w:rPr>
          <w:rFonts w:ascii="Arial" w:hAnsi="Arial" w:cs="Arial"/>
          <w:sz w:val="20"/>
        </w:rPr>
        <w:t>) abgegeben, das die Daten in einer neuen, methodisch als Zahnärzte-Praxis-Panel (</w:t>
      </w:r>
      <w:proofErr w:type="spellStart"/>
      <w:r w:rsidRPr="008A3DBE">
        <w:rPr>
          <w:rFonts w:ascii="Arial" w:hAnsi="Arial" w:cs="Arial"/>
          <w:sz w:val="20"/>
        </w:rPr>
        <w:t>ZäPP</w:t>
      </w:r>
      <w:proofErr w:type="spellEnd"/>
      <w:r w:rsidRPr="008A3DBE">
        <w:rPr>
          <w:rFonts w:ascii="Arial" w:hAnsi="Arial" w:cs="Arial"/>
          <w:sz w:val="20"/>
        </w:rPr>
        <w:t>) angelegten Erhebung erhebt. Daher sind die Zahlen ab 2017 mit denen der Vorjahre nur eingeschränkt vergleichbar.</w:t>
      </w:r>
      <w:r w:rsidRPr="008A3DBE">
        <w:rPr>
          <w:rFonts w:ascii="Arial" w:hAnsi="Arial" w:cs="Arial"/>
          <w:sz w:val="18"/>
          <w:szCs w:val="18"/>
        </w:rPr>
        <w:t xml:space="preserve"> </w:t>
      </w:r>
      <w:r w:rsidRPr="008A3DBE">
        <w:rPr>
          <w:rFonts w:ascii="Arial" w:hAnsi="Arial" w:cs="Arial"/>
          <w:sz w:val="20"/>
        </w:rPr>
        <w:t xml:space="preserve">Mit dem Indikator 11.1 </w:t>
      </w:r>
      <w:r w:rsidRPr="008A3DBE">
        <w:rPr>
          <w:rFonts w:ascii="Arial" w:hAnsi="Arial" w:cs="Arial"/>
          <w:i/>
          <w:sz w:val="20"/>
        </w:rPr>
        <w:t>Kostenstrukturanalyse in der Arztpraxis, ausgewählte Berufe</w:t>
      </w:r>
      <w:r w:rsidRPr="008A3DBE">
        <w:rPr>
          <w:rFonts w:ascii="Arial" w:hAnsi="Arial" w:cs="Arial"/>
          <w:sz w:val="20"/>
        </w:rPr>
        <w:t xml:space="preserve"> besteht wegen methodischer Unterschiede keine Vergleichbarkeit.</w:t>
      </w:r>
    </w:p>
    <w:p w:rsidR="009153D5" w:rsidRPr="003B2E9C" w:rsidRDefault="009153D5">
      <w:pPr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Es handelt sich um einen Prozessindikator.</w:t>
      </w:r>
    </w:p>
    <w:p w:rsidR="009153D5" w:rsidRPr="003B2E9C" w:rsidRDefault="009153D5">
      <w:pPr>
        <w:rPr>
          <w:rFonts w:ascii="Arial" w:hAnsi="Arial" w:cs="Arial"/>
          <w:b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Vergleichbarkeit</w:t>
      </w:r>
    </w:p>
    <w:p w:rsidR="009153D5" w:rsidRPr="003B2E9C" w:rsidRDefault="009153D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Es gibt keine vergleichbaren WHO-, EU- oder OECD-Indikatoren.</w:t>
      </w:r>
      <w:r w:rsidR="00121D29">
        <w:rPr>
          <w:rFonts w:ascii="Arial" w:hAnsi="Arial" w:cs="Arial"/>
          <w:sz w:val="20"/>
        </w:rPr>
        <w:br/>
      </w:r>
      <w:r w:rsidR="00121D29" w:rsidRPr="00121D29">
        <w:rPr>
          <w:rFonts w:ascii="Arial" w:hAnsi="Arial" w:cs="Arial"/>
          <w:sz w:val="20"/>
        </w:rPr>
        <w:t>Mit dem Indikator 11.2 der zweiten Fassung des GMK-</w:t>
      </w:r>
      <w:proofErr w:type="spellStart"/>
      <w:r w:rsidR="00121D29" w:rsidRPr="00121D29">
        <w:rPr>
          <w:rFonts w:ascii="Arial" w:hAnsi="Arial" w:cs="Arial"/>
          <w:sz w:val="20"/>
        </w:rPr>
        <w:t>Indikatorensatzes</w:t>
      </w:r>
      <w:proofErr w:type="spellEnd"/>
      <w:r w:rsidR="00121D29" w:rsidRPr="00121D29">
        <w:rPr>
          <w:rFonts w:ascii="Arial" w:hAnsi="Arial" w:cs="Arial"/>
          <w:sz w:val="20"/>
        </w:rPr>
        <w:t xml:space="preserve"> von 1996 ist der Indikator nur bedingt vergleichbar, da zur Berechnung eine neue Methodik der KZBV verwendet wird</w:t>
      </w:r>
      <w:r w:rsidR="00121D29">
        <w:rPr>
          <w:rFonts w:ascii="Arial" w:hAnsi="Arial" w:cs="Arial"/>
          <w:sz w:val="20"/>
        </w:rPr>
        <w:t>.</w:t>
      </w:r>
    </w:p>
    <w:p w:rsidR="009153D5" w:rsidRPr="003B2E9C" w:rsidRDefault="009153D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Originalquellen</w:t>
      </w:r>
    </w:p>
    <w:p w:rsidR="009153D5" w:rsidRPr="003B2E9C" w:rsidRDefault="009153D5">
      <w:pPr>
        <w:rPr>
          <w:rFonts w:ascii="Arial" w:hAnsi="Arial" w:cs="Arial"/>
          <w:sz w:val="20"/>
        </w:rPr>
      </w:pPr>
      <w:r w:rsidRPr="003B2E9C">
        <w:rPr>
          <w:rFonts w:ascii="Arial" w:hAnsi="Arial" w:cs="Arial"/>
          <w:sz w:val="20"/>
        </w:rPr>
        <w:t>Kassenzahnärztliche Bundesvereinigung (Hrsg.): KZBV Jahrbuch: Statistische Basisdaten zur vertragszahnärztlichen Versorgung. Köln.</w:t>
      </w:r>
    </w:p>
    <w:p w:rsidR="009153D5" w:rsidRPr="003B2E9C" w:rsidRDefault="009153D5">
      <w:pPr>
        <w:rPr>
          <w:rFonts w:ascii="Arial" w:hAnsi="Arial" w:cs="Arial"/>
          <w:sz w:val="20"/>
        </w:rPr>
      </w:pPr>
    </w:p>
    <w:p w:rsidR="009153D5" w:rsidRPr="003B2E9C" w:rsidRDefault="009153D5">
      <w:pPr>
        <w:rPr>
          <w:rFonts w:ascii="Arial" w:hAnsi="Arial" w:cs="Arial"/>
          <w:b/>
          <w:sz w:val="20"/>
        </w:rPr>
      </w:pPr>
      <w:r w:rsidRPr="003B2E9C">
        <w:rPr>
          <w:rFonts w:ascii="Arial" w:hAnsi="Arial" w:cs="Arial"/>
          <w:b/>
          <w:sz w:val="20"/>
        </w:rPr>
        <w:t>Dokumentationsstand</w:t>
      </w:r>
    </w:p>
    <w:p w:rsidR="009153D5" w:rsidRPr="003B2E9C" w:rsidRDefault="00121D2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02.03.2021</w:t>
      </w:r>
    </w:p>
    <w:sectPr w:rsidR="009153D5" w:rsidRPr="003B2E9C" w:rsidSect="000B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72" w:rsidRDefault="00DA5B72">
      <w:r>
        <w:separator/>
      </w:r>
    </w:p>
  </w:endnote>
  <w:endnote w:type="continuationSeparator" w:id="0">
    <w:p w:rsidR="00DA5B72" w:rsidRDefault="00D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39" w:rsidRDefault="006B1A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39" w:rsidRDefault="006B1A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39" w:rsidRDefault="006B1A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72" w:rsidRDefault="00DA5B72">
      <w:r>
        <w:separator/>
      </w:r>
    </w:p>
  </w:footnote>
  <w:footnote w:type="continuationSeparator" w:id="0">
    <w:p w:rsidR="00DA5B72" w:rsidRDefault="00D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D5" w:rsidRDefault="009153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153D5" w:rsidRDefault="00915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D5" w:rsidRDefault="009153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1D29">
      <w:rPr>
        <w:rStyle w:val="Seitenzahl"/>
        <w:noProof/>
      </w:rPr>
      <w:t>2</w:t>
    </w:r>
    <w:r>
      <w:rPr>
        <w:rStyle w:val="Seitenzahl"/>
      </w:rPr>
      <w:fldChar w:fldCharType="end"/>
    </w:r>
  </w:p>
  <w:p w:rsidR="009153D5" w:rsidRDefault="009153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39" w:rsidRDefault="006B1A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C0C"/>
    <w:multiLevelType w:val="hybridMultilevel"/>
    <w:tmpl w:val="5D227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82D48"/>
    <w:multiLevelType w:val="hybridMultilevel"/>
    <w:tmpl w:val="9C26F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13"/>
    <w:rsid w:val="000B2999"/>
    <w:rsid w:val="001143E4"/>
    <w:rsid w:val="00121D29"/>
    <w:rsid w:val="00354032"/>
    <w:rsid w:val="003B2E9C"/>
    <w:rsid w:val="006B1A39"/>
    <w:rsid w:val="008A3DBE"/>
    <w:rsid w:val="008F5259"/>
    <w:rsid w:val="009153D5"/>
    <w:rsid w:val="00AA1D75"/>
    <w:rsid w:val="00DA5B72"/>
    <w:rsid w:val="00E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B716E"/>
  <w15:chartTrackingRefBased/>
  <w15:docId w15:val="{5E4B334A-D4F0-40BA-84F8-38652EE2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semiHidden/>
    <w:rsid w:val="008A3DBE"/>
    <w:rPr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8A3DBE"/>
  </w:style>
  <w:style w:type="paragraph" w:styleId="Listenabsatz">
    <w:name w:val="List Paragraph"/>
    <w:basedOn w:val="Standard"/>
    <w:uiPriority w:val="34"/>
    <w:qFormat/>
    <w:rsid w:val="008A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Metadatenbeschreibung</vt:lpstr>
    </vt:vector>
  </TitlesOfParts>
  <Company>LÖGD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Metadatenbeschreibung</dc:title>
  <dc:subject/>
  <dc:creator>bardehle</dc:creator>
  <cp:keywords/>
  <dc:description/>
  <cp:lastModifiedBy>Zollikofer, Sylvia (LGL)</cp:lastModifiedBy>
  <cp:revision>4</cp:revision>
  <cp:lastPrinted>2003-02-05T15:04:00Z</cp:lastPrinted>
  <dcterms:created xsi:type="dcterms:W3CDTF">2021-03-02T11:56:00Z</dcterms:created>
  <dcterms:modified xsi:type="dcterms:W3CDTF">2021-07-12T09:47:00Z</dcterms:modified>
</cp:coreProperties>
</file>